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2469FDF5" w:rsidR="00390D8E" w:rsidRPr="004E1B7E" w:rsidRDefault="00D32380"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D32380" w:rsidRPr="0099147E" w14:paraId="212AD005" w14:textId="77777777" w:rsidTr="003442DA">
        <w:trPr>
          <w:trHeight w:val="520"/>
        </w:trPr>
        <w:tc>
          <w:tcPr>
            <w:tcW w:w="805" w:type="dxa"/>
            <w:shd w:val="clear" w:color="auto" w:fill="D5DCE4" w:themeFill="text2" w:themeFillTint="33"/>
          </w:tcPr>
          <w:p w14:paraId="650D87D0" w14:textId="41AEA84B"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FAR</w:t>
            </w:r>
          </w:p>
        </w:tc>
        <w:tc>
          <w:tcPr>
            <w:tcW w:w="1530" w:type="dxa"/>
            <w:shd w:val="clear" w:color="auto" w:fill="D5DCE4" w:themeFill="text2" w:themeFillTint="33"/>
            <w:noWrap/>
          </w:tcPr>
          <w:p w14:paraId="53202E4C" w14:textId="0BE4B4AC"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52.242-15</w:t>
            </w:r>
          </w:p>
        </w:tc>
        <w:tc>
          <w:tcPr>
            <w:tcW w:w="2967" w:type="dxa"/>
            <w:shd w:val="clear" w:color="auto" w:fill="D5DCE4" w:themeFill="text2" w:themeFillTint="33"/>
          </w:tcPr>
          <w:p w14:paraId="149CFD7E" w14:textId="0273055A"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Stop-Work Order.</w:t>
            </w:r>
          </w:p>
        </w:tc>
        <w:tc>
          <w:tcPr>
            <w:tcW w:w="960" w:type="dxa"/>
            <w:noWrap/>
          </w:tcPr>
          <w:p w14:paraId="65B5831E" w14:textId="155B6AF9"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8/1/1989</w:t>
            </w:r>
          </w:p>
        </w:tc>
        <w:tc>
          <w:tcPr>
            <w:tcW w:w="3088" w:type="dxa"/>
          </w:tcPr>
          <w:p w14:paraId="7F740683" w14:textId="3B84EAF3"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"Contracting Officer" and "Government" mean "Lockheed Martin."</w:t>
            </w:r>
          </w:p>
        </w:tc>
      </w:tr>
      <w:tr w:rsidR="00D32380" w:rsidRPr="0099147E" w14:paraId="2AC905EE" w14:textId="77777777" w:rsidTr="003442DA">
        <w:trPr>
          <w:trHeight w:val="520"/>
        </w:trPr>
        <w:tc>
          <w:tcPr>
            <w:tcW w:w="805" w:type="dxa"/>
            <w:shd w:val="clear" w:color="auto" w:fill="D5DCE4" w:themeFill="text2" w:themeFillTint="33"/>
          </w:tcPr>
          <w:p w14:paraId="027B102F" w14:textId="6070372A"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FAR</w:t>
            </w:r>
          </w:p>
        </w:tc>
        <w:tc>
          <w:tcPr>
            <w:tcW w:w="1530" w:type="dxa"/>
            <w:shd w:val="clear" w:color="auto" w:fill="D5DCE4" w:themeFill="text2" w:themeFillTint="33"/>
            <w:noWrap/>
            <w:hideMark/>
          </w:tcPr>
          <w:p w14:paraId="46288FAD" w14:textId="2B4EC441"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 xml:space="preserve">52.219-9 </w:t>
            </w:r>
          </w:p>
        </w:tc>
        <w:tc>
          <w:tcPr>
            <w:tcW w:w="2967" w:type="dxa"/>
            <w:shd w:val="clear" w:color="auto" w:fill="D5DCE4" w:themeFill="text2" w:themeFillTint="33"/>
            <w:hideMark/>
          </w:tcPr>
          <w:p w14:paraId="1D1CA6F6" w14:textId="665B21D1"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Small Business Subcontracting Plan.</w:t>
            </w:r>
          </w:p>
        </w:tc>
        <w:tc>
          <w:tcPr>
            <w:tcW w:w="960" w:type="dxa"/>
            <w:noWrap/>
            <w:hideMark/>
          </w:tcPr>
          <w:p w14:paraId="6F3DDDF1" w14:textId="44510B68"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11/1/2016</w:t>
            </w:r>
          </w:p>
        </w:tc>
        <w:tc>
          <w:tcPr>
            <w:tcW w:w="3088" w:type="dxa"/>
            <w:hideMark/>
          </w:tcPr>
          <w:p w14:paraId="337857B2" w14:textId="3E213F17"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Applies if this contract exceeds the threshold at FAR 19.702(a</w:t>
            </w:r>
            <w:proofErr w:type="gramStart"/>
            <w:r w:rsidRPr="00D32380">
              <w:rPr>
                <w:rFonts w:ascii="Arial Narrow" w:hAnsi="Arial Narrow"/>
                <w:sz w:val="20"/>
                <w:szCs w:val="20"/>
              </w:rPr>
              <w:t>) .Does</w:t>
            </w:r>
            <w:proofErr w:type="gramEnd"/>
            <w:r w:rsidRPr="00D32380">
              <w:rPr>
                <w:rFonts w:ascii="Arial Narrow" w:hAnsi="Arial Narrow"/>
                <w:sz w:val="20"/>
                <w:szCs w:val="20"/>
              </w:rPr>
              <w:t xml:space="preserve"> not apply if Seller is a small business concern. "Contracting Officer" means "Lockheed Martin" in paragraph (c). Seller's subcontracting plan is incorporated herein by reference.</w:t>
            </w:r>
          </w:p>
        </w:tc>
      </w:tr>
      <w:tr w:rsidR="00D32380" w:rsidRPr="0099147E" w14:paraId="0E2D3549" w14:textId="77777777" w:rsidTr="003442DA">
        <w:trPr>
          <w:trHeight w:val="260"/>
        </w:trPr>
        <w:tc>
          <w:tcPr>
            <w:tcW w:w="805" w:type="dxa"/>
            <w:shd w:val="clear" w:color="auto" w:fill="D5DCE4" w:themeFill="text2" w:themeFillTint="33"/>
          </w:tcPr>
          <w:p w14:paraId="7CF55320" w14:textId="662183BF"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DFARS</w:t>
            </w:r>
          </w:p>
        </w:tc>
        <w:tc>
          <w:tcPr>
            <w:tcW w:w="1530" w:type="dxa"/>
            <w:shd w:val="clear" w:color="auto" w:fill="D5DCE4" w:themeFill="text2" w:themeFillTint="33"/>
            <w:noWrap/>
            <w:hideMark/>
          </w:tcPr>
          <w:p w14:paraId="6A82E065" w14:textId="2DB6B06E"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 xml:space="preserve">252.234-7002 </w:t>
            </w:r>
          </w:p>
        </w:tc>
        <w:tc>
          <w:tcPr>
            <w:tcW w:w="2967" w:type="dxa"/>
            <w:shd w:val="clear" w:color="auto" w:fill="D5DCE4" w:themeFill="text2" w:themeFillTint="33"/>
            <w:hideMark/>
          </w:tcPr>
          <w:p w14:paraId="39E76094" w14:textId="4D594F2D"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Earned Value Management System.</w:t>
            </w:r>
          </w:p>
        </w:tc>
        <w:tc>
          <w:tcPr>
            <w:tcW w:w="960" w:type="dxa"/>
            <w:noWrap/>
            <w:hideMark/>
          </w:tcPr>
          <w:p w14:paraId="7C70D817" w14:textId="58E7B020"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5/1/2011</w:t>
            </w:r>
          </w:p>
        </w:tc>
        <w:tc>
          <w:tcPr>
            <w:tcW w:w="3088" w:type="dxa"/>
            <w:hideMark/>
          </w:tcPr>
          <w:p w14:paraId="101EF1C1" w14:textId="2C92891E"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 xml:space="preserve">"Government" </w:t>
            </w:r>
            <w:proofErr w:type="spellStart"/>
            <w:r w:rsidRPr="00D32380">
              <w:rPr>
                <w:rFonts w:ascii="Arial Narrow" w:hAnsi="Arial Narrow"/>
                <w:sz w:val="20"/>
                <w:szCs w:val="20"/>
              </w:rPr>
              <w:t>means"Lockheed</w:t>
            </w:r>
            <w:proofErr w:type="spellEnd"/>
            <w:r w:rsidRPr="00D32380">
              <w:rPr>
                <w:rFonts w:ascii="Arial Narrow" w:hAnsi="Arial Narrow"/>
                <w:sz w:val="20"/>
                <w:szCs w:val="20"/>
              </w:rPr>
              <w:t xml:space="preserve"> Martin and Government." Paragraphs (i) and (j) are deleted.</w:t>
            </w:r>
          </w:p>
        </w:tc>
      </w:tr>
      <w:tr w:rsidR="00D32380" w:rsidRPr="0099147E" w14:paraId="0B554154" w14:textId="77777777" w:rsidTr="003442DA">
        <w:trPr>
          <w:trHeight w:val="1570"/>
        </w:trPr>
        <w:tc>
          <w:tcPr>
            <w:tcW w:w="805" w:type="dxa"/>
            <w:shd w:val="clear" w:color="auto" w:fill="D5DCE4" w:themeFill="text2" w:themeFillTint="33"/>
          </w:tcPr>
          <w:p w14:paraId="7761DF86" w14:textId="4F9E6AA7"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FAR</w:t>
            </w:r>
          </w:p>
        </w:tc>
        <w:tc>
          <w:tcPr>
            <w:tcW w:w="1530" w:type="dxa"/>
            <w:shd w:val="clear" w:color="auto" w:fill="D5DCE4" w:themeFill="text2" w:themeFillTint="33"/>
            <w:noWrap/>
            <w:hideMark/>
          </w:tcPr>
          <w:p w14:paraId="00C905C1" w14:textId="6173166E"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52.219-9 ALT II (Deviation)</w:t>
            </w:r>
          </w:p>
        </w:tc>
        <w:tc>
          <w:tcPr>
            <w:tcW w:w="2967" w:type="dxa"/>
            <w:shd w:val="clear" w:color="auto" w:fill="D5DCE4" w:themeFill="text2" w:themeFillTint="33"/>
            <w:hideMark/>
          </w:tcPr>
          <w:p w14:paraId="3AEE6A25" w14:textId="74CFA6A2"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(DEVIATION 2016-O0009) Small Business Subcontracting Plan</w:t>
            </w:r>
          </w:p>
        </w:tc>
        <w:tc>
          <w:tcPr>
            <w:tcW w:w="960" w:type="dxa"/>
            <w:noWrap/>
            <w:hideMark/>
          </w:tcPr>
          <w:p w14:paraId="676AEDA6" w14:textId="3AE73C01"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8/1/2016</w:t>
            </w:r>
          </w:p>
        </w:tc>
        <w:tc>
          <w:tcPr>
            <w:tcW w:w="3088" w:type="dxa"/>
            <w:hideMark/>
          </w:tcPr>
          <w:p w14:paraId="0C2BE74E" w14:textId="0CA31580" w:rsidR="00D32380" w:rsidRPr="00D32380" w:rsidRDefault="00D32380" w:rsidP="00D32380">
            <w:pPr>
              <w:rPr>
                <w:rFonts w:ascii="Arial Narrow" w:eastAsia="Times New Roman" w:hAnsi="Arial Narrow" w:cs="Times New Roman"/>
                <w:color w:val="000000"/>
                <w:sz w:val="20"/>
                <w:szCs w:val="20"/>
              </w:rPr>
            </w:pPr>
          </w:p>
        </w:tc>
      </w:tr>
      <w:tr w:rsidR="00D32380" w:rsidRPr="0099147E" w14:paraId="169B65F6" w14:textId="77777777" w:rsidTr="003442DA">
        <w:trPr>
          <w:trHeight w:val="260"/>
        </w:trPr>
        <w:tc>
          <w:tcPr>
            <w:tcW w:w="805" w:type="dxa"/>
            <w:shd w:val="clear" w:color="auto" w:fill="D5DCE4" w:themeFill="text2" w:themeFillTint="33"/>
          </w:tcPr>
          <w:p w14:paraId="38104A89" w14:textId="0B6E5686" w:rsidR="00D32380" w:rsidRPr="00D32380" w:rsidRDefault="00D32380" w:rsidP="00D32380">
            <w:pPr>
              <w:rPr>
                <w:rFonts w:ascii="Arial Narrow" w:hAnsi="Arial Narrow"/>
                <w:sz w:val="20"/>
                <w:szCs w:val="20"/>
              </w:rPr>
            </w:pPr>
            <w:r w:rsidRPr="00D32380">
              <w:rPr>
                <w:rFonts w:ascii="Arial Narrow" w:hAnsi="Arial Narrow"/>
                <w:sz w:val="20"/>
                <w:szCs w:val="20"/>
              </w:rPr>
              <w:t>DFARS</w:t>
            </w:r>
          </w:p>
        </w:tc>
        <w:tc>
          <w:tcPr>
            <w:tcW w:w="1530" w:type="dxa"/>
            <w:shd w:val="clear" w:color="auto" w:fill="D5DCE4" w:themeFill="text2" w:themeFillTint="33"/>
            <w:noWrap/>
          </w:tcPr>
          <w:p w14:paraId="64084B19" w14:textId="17306CE7"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 xml:space="preserve">252.243-7002 </w:t>
            </w:r>
          </w:p>
        </w:tc>
        <w:tc>
          <w:tcPr>
            <w:tcW w:w="2967" w:type="dxa"/>
            <w:shd w:val="clear" w:color="auto" w:fill="D5DCE4" w:themeFill="text2" w:themeFillTint="33"/>
          </w:tcPr>
          <w:p w14:paraId="2D35FC6A" w14:textId="5D388B76"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Requests for Equitable Adjustment.</w:t>
            </w:r>
          </w:p>
        </w:tc>
        <w:tc>
          <w:tcPr>
            <w:tcW w:w="960" w:type="dxa"/>
            <w:noWrap/>
          </w:tcPr>
          <w:p w14:paraId="0B212B6E" w14:textId="53F5D03F"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12/1/2012</w:t>
            </w:r>
          </w:p>
        </w:tc>
        <w:tc>
          <w:tcPr>
            <w:tcW w:w="3088" w:type="dxa"/>
          </w:tcPr>
          <w:p w14:paraId="128BC1ED" w14:textId="677C7B8E"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"Government" means "</w:t>
            </w:r>
            <w:proofErr w:type="spellStart"/>
            <w:r w:rsidRPr="00D32380">
              <w:rPr>
                <w:rFonts w:ascii="Arial Narrow" w:hAnsi="Arial Narrow"/>
                <w:sz w:val="20"/>
                <w:szCs w:val="20"/>
              </w:rPr>
              <w:t>LockheedMartin</w:t>
            </w:r>
            <w:proofErr w:type="spellEnd"/>
            <w:r w:rsidRPr="00D32380">
              <w:rPr>
                <w:rFonts w:ascii="Arial Narrow" w:hAnsi="Arial Narrow"/>
                <w:sz w:val="20"/>
                <w:szCs w:val="20"/>
              </w:rPr>
              <w:t>."</w:t>
            </w:r>
          </w:p>
        </w:tc>
      </w:tr>
      <w:tr w:rsidR="00D32380" w:rsidRPr="0099147E" w14:paraId="3EA99EC2" w14:textId="77777777" w:rsidTr="003442DA">
        <w:trPr>
          <w:trHeight w:val="260"/>
        </w:trPr>
        <w:tc>
          <w:tcPr>
            <w:tcW w:w="805" w:type="dxa"/>
            <w:shd w:val="clear" w:color="auto" w:fill="D5DCE4" w:themeFill="text2" w:themeFillTint="33"/>
          </w:tcPr>
          <w:p w14:paraId="60B7EA83" w14:textId="6B35B070"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FAR</w:t>
            </w:r>
          </w:p>
        </w:tc>
        <w:tc>
          <w:tcPr>
            <w:tcW w:w="1530" w:type="dxa"/>
            <w:shd w:val="clear" w:color="auto" w:fill="D5DCE4" w:themeFill="text2" w:themeFillTint="33"/>
            <w:noWrap/>
            <w:hideMark/>
          </w:tcPr>
          <w:p w14:paraId="0AAC89DF" w14:textId="0DBC4335"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 xml:space="preserve">52.216-4 </w:t>
            </w:r>
          </w:p>
        </w:tc>
        <w:tc>
          <w:tcPr>
            <w:tcW w:w="2967" w:type="dxa"/>
            <w:shd w:val="clear" w:color="auto" w:fill="D5DCE4" w:themeFill="text2" w:themeFillTint="33"/>
            <w:hideMark/>
          </w:tcPr>
          <w:p w14:paraId="1831E12B" w14:textId="258CD8BC"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Economic Price Adjustment - Labor and Material.</w:t>
            </w:r>
          </w:p>
        </w:tc>
        <w:tc>
          <w:tcPr>
            <w:tcW w:w="960" w:type="dxa"/>
            <w:noWrap/>
            <w:hideMark/>
          </w:tcPr>
          <w:p w14:paraId="4C97E817" w14:textId="5B3A9BCC"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1/1/2017</w:t>
            </w:r>
          </w:p>
        </w:tc>
        <w:tc>
          <w:tcPr>
            <w:tcW w:w="3088" w:type="dxa"/>
            <w:hideMark/>
          </w:tcPr>
          <w:p w14:paraId="7AAFA068" w14:textId="789501FC" w:rsidR="00D32380" w:rsidRPr="00D32380" w:rsidRDefault="00D32380" w:rsidP="00D32380">
            <w:pPr>
              <w:rPr>
                <w:rFonts w:ascii="Arial Narrow" w:eastAsia="Times New Roman" w:hAnsi="Arial Narrow" w:cs="Times New Roman"/>
                <w:color w:val="000000"/>
                <w:sz w:val="20"/>
                <w:szCs w:val="20"/>
              </w:rPr>
            </w:pPr>
            <w:r w:rsidRPr="00D32380">
              <w:rPr>
                <w:rFonts w:ascii="Arial Narrow" w:hAnsi="Arial Narrow"/>
                <w:sz w:val="20"/>
                <w:szCs w:val="20"/>
              </w:rPr>
              <w:t>N/A.</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C728" w14:textId="77777777" w:rsidR="007B093E" w:rsidRDefault="007B093E" w:rsidP="006B2C64">
      <w:pPr>
        <w:spacing w:after="0" w:line="240" w:lineRule="auto"/>
      </w:pPr>
      <w:r>
        <w:separator/>
      </w:r>
    </w:p>
  </w:endnote>
  <w:endnote w:type="continuationSeparator" w:id="0">
    <w:p w14:paraId="3275D5BD" w14:textId="77777777" w:rsidR="007B093E" w:rsidRDefault="007B093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6127" w14:textId="77777777" w:rsidR="007B093E" w:rsidRDefault="007B093E" w:rsidP="006B2C64">
      <w:pPr>
        <w:spacing w:after="0" w:line="240" w:lineRule="auto"/>
      </w:pPr>
      <w:r>
        <w:separator/>
      </w:r>
    </w:p>
  </w:footnote>
  <w:footnote w:type="continuationSeparator" w:id="0">
    <w:p w14:paraId="2015BC94" w14:textId="77777777" w:rsidR="007B093E" w:rsidRDefault="007B093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BEB" w14:textId="77777777" w:rsidR="00D32380" w:rsidRDefault="00D32380" w:rsidP="00D32380">
    <w:pPr>
      <w:pStyle w:val="Header"/>
      <w:jc w:val="center"/>
    </w:pPr>
    <w:r>
      <w:t xml:space="preserve">MASC-F TASK ORDER 05 </w:t>
    </w:r>
    <w:r w:rsidRPr="006302FD">
      <w:t xml:space="preserve">HQ0147-19-D-0002 </w:t>
    </w:r>
    <w:r>
      <w:t xml:space="preserve">REV.0  </w:t>
    </w:r>
  </w:p>
  <w:p w14:paraId="4165DE78" w14:textId="72E8E995" w:rsidR="00D32380" w:rsidRDefault="00D32380" w:rsidP="00D32380">
    <w:pPr>
      <w:pStyle w:val="Header"/>
      <w:jc w:val="center"/>
    </w:pPr>
    <w:r>
      <w:t>01/30/2025</w:t>
    </w:r>
  </w:p>
  <w:p w14:paraId="763A02EE" w14:textId="00B1D5DB" w:rsidR="00437785" w:rsidRPr="00D32380" w:rsidRDefault="00437785" w:rsidP="00D32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2F59D2"/>
    <w:rsid w:val="003130CC"/>
    <w:rsid w:val="00390D8E"/>
    <w:rsid w:val="003D184E"/>
    <w:rsid w:val="00402A24"/>
    <w:rsid w:val="00410CDD"/>
    <w:rsid w:val="00437785"/>
    <w:rsid w:val="0051639F"/>
    <w:rsid w:val="00534F05"/>
    <w:rsid w:val="00586BF7"/>
    <w:rsid w:val="00604FEE"/>
    <w:rsid w:val="00666D8F"/>
    <w:rsid w:val="006B2C64"/>
    <w:rsid w:val="006C2B3E"/>
    <w:rsid w:val="00740EE9"/>
    <w:rsid w:val="00793130"/>
    <w:rsid w:val="007B093E"/>
    <w:rsid w:val="007B689E"/>
    <w:rsid w:val="007F7C59"/>
    <w:rsid w:val="008A1587"/>
    <w:rsid w:val="00912CF7"/>
    <w:rsid w:val="0099147E"/>
    <w:rsid w:val="009A7979"/>
    <w:rsid w:val="009D6EA3"/>
    <w:rsid w:val="009E43F1"/>
    <w:rsid w:val="00AC6AB1"/>
    <w:rsid w:val="00AF6A4A"/>
    <w:rsid w:val="00B17BC6"/>
    <w:rsid w:val="00B41C6E"/>
    <w:rsid w:val="00B4750E"/>
    <w:rsid w:val="00B514F2"/>
    <w:rsid w:val="00BB3D92"/>
    <w:rsid w:val="00BD2853"/>
    <w:rsid w:val="00C82C72"/>
    <w:rsid w:val="00CA2CFC"/>
    <w:rsid w:val="00CB0D70"/>
    <w:rsid w:val="00D3238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2025-02-10T17:36:00Z</dcterms:created>
  <dcterms:modified xsi:type="dcterms:W3CDTF">2025-02-10T17:36:00Z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